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709A" w14:textId="77777777" w:rsidR="00DE7B2B" w:rsidRPr="0033225C" w:rsidRDefault="003254E9">
      <w:pPr>
        <w:pStyle w:val="12"/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 w:rsidRPr="0033225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示范区国有公司房地产开发项目</w:t>
      </w:r>
    </w:p>
    <w:p w14:paraId="7934CC5D" w14:textId="77777777" w:rsidR="00DE7B2B" w:rsidRPr="0033225C" w:rsidRDefault="003254E9">
      <w:pPr>
        <w:pStyle w:val="12"/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 w:rsidRPr="0033225C"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对外合作招标方案</w:t>
      </w:r>
    </w:p>
    <w:p w14:paraId="179E1C0A" w14:textId="77777777" w:rsidR="00DE7B2B" w:rsidRDefault="00DE7B2B">
      <w:pPr>
        <w:pStyle w:val="12"/>
        <w:widowControl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50B3BCD3" w14:textId="7D9FF896" w:rsidR="00DE7B2B" w:rsidRDefault="007B01AE">
      <w:pPr>
        <w:widowControl/>
        <w:ind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7B01AE">
        <w:rPr>
          <w:rFonts w:ascii="仿宋_GB2312" w:eastAsia="仿宋_GB2312" w:hAnsi="仿宋_GB2312" w:cs="仿宋_GB2312" w:hint="eastAsia"/>
          <w:sz w:val="32"/>
          <w:szCs w:val="32"/>
        </w:rPr>
        <w:t>许昌建荣科技</w:t>
      </w:r>
      <w:proofErr w:type="gramEnd"/>
      <w:r w:rsidRPr="007B01AE">
        <w:rPr>
          <w:rFonts w:ascii="仿宋_GB2312" w:eastAsia="仿宋_GB2312" w:hAnsi="仿宋_GB2312" w:cs="仿宋_GB2312" w:hint="eastAsia"/>
          <w:sz w:val="32"/>
          <w:szCs w:val="32"/>
        </w:rPr>
        <w:t>产业有限公司</w:t>
      </w:r>
      <w:r w:rsidR="003254E9">
        <w:rPr>
          <w:rFonts w:ascii="仿宋_GB2312" w:eastAsia="仿宋_GB2312" w:hAnsi="仿宋_GB2312" w:cs="仿宋_GB2312"/>
          <w:sz w:val="32"/>
          <w:szCs w:val="32"/>
        </w:rPr>
        <w:t>全资子公司</w:t>
      </w:r>
      <w:proofErr w:type="gramStart"/>
      <w:r w:rsidR="003254E9">
        <w:rPr>
          <w:rFonts w:ascii="仿宋_GB2312" w:eastAsia="仿宋_GB2312" w:hAnsi="仿宋_GB2312" w:cs="仿宋_GB2312"/>
          <w:sz w:val="32"/>
          <w:szCs w:val="32"/>
        </w:rPr>
        <w:t>许昌天</w:t>
      </w:r>
      <w:proofErr w:type="gramEnd"/>
      <w:r w:rsidR="003254E9">
        <w:rPr>
          <w:rFonts w:ascii="仿宋_GB2312" w:eastAsia="仿宋_GB2312" w:hAnsi="仿宋_GB2312" w:cs="仿宋_GB2312"/>
          <w:sz w:val="32"/>
          <w:szCs w:val="32"/>
        </w:rPr>
        <w:t>创科技产业有限公司（以下简称“</w:t>
      </w:r>
      <w:r w:rsidR="00F12B23">
        <w:rPr>
          <w:rFonts w:ascii="仿宋_GB2312" w:eastAsia="仿宋_GB2312" w:hAnsi="仿宋_GB2312" w:cs="仿宋_GB2312"/>
          <w:sz w:val="32"/>
          <w:szCs w:val="32"/>
        </w:rPr>
        <w:t>项目</w:t>
      </w:r>
      <w:r w:rsidR="003254E9">
        <w:rPr>
          <w:rFonts w:ascii="仿宋_GB2312" w:eastAsia="仿宋_GB2312" w:hAnsi="仿宋_GB2312" w:cs="仿宋_GB2312"/>
          <w:sz w:val="32"/>
          <w:szCs w:val="32"/>
        </w:rPr>
        <w:t>公司”）于2024年12月26日成功竞得许昌市示范区FX</w:t>
      </w:r>
      <w:r w:rsidR="003254E9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254E9">
        <w:rPr>
          <w:rFonts w:ascii="仿宋_GB2312" w:eastAsia="仿宋_GB2312" w:hAnsi="仿宋_GB2312" w:cs="仿宋_GB2312"/>
          <w:sz w:val="32"/>
          <w:szCs w:val="32"/>
        </w:rPr>
        <w:t>8-1#住宅地块国有建设用地使用权。为高效开发运营该地块，确保土地开发收益稳定及国有资产保值增值，</w:t>
      </w:r>
      <w:r>
        <w:rPr>
          <w:rFonts w:ascii="仿宋_GB2312" w:eastAsia="仿宋_GB2312" w:hAnsi="仿宋_GB2312" w:cs="仿宋_GB2312"/>
          <w:sz w:val="32"/>
          <w:szCs w:val="32"/>
        </w:rPr>
        <w:t>建荣公司</w:t>
      </w:r>
      <w:r w:rsidR="003254E9">
        <w:rPr>
          <w:rFonts w:ascii="仿宋_GB2312" w:eastAsia="仿宋_GB2312" w:hAnsi="仿宋_GB2312" w:cs="仿宋_GB2312"/>
          <w:sz w:val="32"/>
          <w:szCs w:val="32"/>
        </w:rPr>
        <w:t>拟按照“优势互补、利益共享”原则，公开遴选实力雄厚、信誉良好、具有丰富房地产开发经验及较强品牌溢价能力的合作方，以受让</w:t>
      </w:r>
      <w:r w:rsidR="00F12B23">
        <w:rPr>
          <w:rFonts w:ascii="仿宋_GB2312" w:eastAsia="仿宋_GB2312" w:hAnsi="仿宋_GB2312" w:cs="仿宋_GB2312"/>
          <w:sz w:val="32"/>
          <w:szCs w:val="32"/>
        </w:rPr>
        <w:t>项目</w:t>
      </w:r>
      <w:r w:rsidR="003254E9">
        <w:rPr>
          <w:rFonts w:ascii="仿宋_GB2312" w:eastAsia="仿宋_GB2312" w:hAnsi="仿宋_GB2312" w:cs="仿宋_GB2312"/>
          <w:sz w:val="32"/>
          <w:szCs w:val="32"/>
        </w:rPr>
        <w:t>公司股权的</w:t>
      </w:r>
      <w:r w:rsidR="003254E9">
        <w:rPr>
          <w:rFonts w:ascii="仿宋_GB2312" w:eastAsia="仿宋_GB2312" w:hAnsi="仿宋_GB2312" w:cs="仿宋_GB2312"/>
          <w:bCs/>
          <w:sz w:val="32"/>
          <w:szCs w:val="32"/>
        </w:rPr>
        <w:t>方式</w:t>
      </w:r>
      <w:r w:rsidR="00AE7648">
        <w:rPr>
          <w:rFonts w:ascii="仿宋_GB2312" w:eastAsia="仿宋_GB2312" w:hAnsi="仿宋_GB2312" w:cs="仿宋_GB2312"/>
          <w:bCs/>
          <w:sz w:val="32"/>
          <w:szCs w:val="32"/>
        </w:rPr>
        <w:t>，</w:t>
      </w:r>
      <w:r w:rsidR="00AE7648">
        <w:rPr>
          <w:rFonts w:ascii="仿宋" w:eastAsia="仿宋" w:hAnsi="仿宋" w:cs="仿宋_GB2312" w:hint="eastAsia"/>
          <w:sz w:val="32"/>
          <w:szCs w:val="32"/>
        </w:rPr>
        <w:t>合作开发</w:t>
      </w:r>
      <w:r w:rsidR="00AE7648" w:rsidRPr="005E4D27">
        <w:rPr>
          <w:rFonts w:ascii="仿宋" w:eastAsia="仿宋" w:hAnsi="仿宋" w:cs="仿宋_GB2312" w:hint="eastAsia"/>
          <w:sz w:val="32"/>
          <w:szCs w:val="32"/>
        </w:rPr>
        <w:t>示范区FX08-1#住宅地块</w:t>
      </w:r>
      <w:r w:rsidR="00AE7648">
        <w:rPr>
          <w:rFonts w:ascii="仿宋" w:eastAsia="仿宋" w:hAnsi="仿宋" w:cs="仿宋_GB2312" w:hint="eastAsia"/>
          <w:sz w:val="32"/>
          <w:szCs w:val="32"/>
        </w:rPr>
        <w:t>项目</w:t>
      </w:r>
      <w:r w:rsidR="003254E9">
        <w:rPr>
          <w:rFonts w:ascii="仿宋_GB2312" w:eastAsia="仿宋_GB2312" w:hAnsi="仿宋_GB2312" w:cs="仿宋_GB2312"/>
          <w:sz w:val="32"/>
          <w:szCs w:val="32"/>
        </w:rPr>
        <w:t>。合作目标是全额回收国有公司前期投入</w:t>
      </w:r>
      <w:r w:rsidR="003254E9">
        <w:rPr>
          <w:rFonts w:ascii="仿宋_GB2312" w:eastAsia="仿宋_GB2312" w:hAnsi="仿宋_GB2312" w:cs="仿宋_GB2312"/>
          <w:bCs/>
          <w:sz w:val="32"/>
          <w:szCs w:val="32"/>
        </w:rPr>
        <w:t>资金成本</w:t>
      </w:r>
      <w:r w:rsidR="003254E9">
        <w:rPr>
          <w:rFonts w:ascii="仿宋_GB2312" w:eastAsia="仿宋_GB2312" w:hAnsi="仿宋_GB2312" w:cs="仿宋_GB2312" w:hint="eastAsia"/>
          <w:sz w:val="32"/>
          <w:szCs w:val="32"/>
        </w:rPr>
        <w:t>，具体如下：</w:t>
      </w:r>
    </w:p>
    <w:p w14:paraId="1487F38B" w14:textId="77777777" w:rsidR="00DE7B2B" w:rsidRDefault="003254E9">
      <w:pPr>
        <w:widowControl/>
        <w:ind w:firstLine="640"/>
        <w:textAlignment w:val="baseline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一、地块基本情况</w:t>
      </w:r>
    </w:p>
    <w:p w14:paraId="46E63D78" w14:textId="77777777" w:rsidR="00DE7B2B" w:rsidRDefault="003254E9">
      <w:pPr>
        <w:widowControl/>
        <w:ind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（一）地块名称：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示范区FX08-1#地块</w:t>
      </w:r>
    </w:p>
    <w:p w14:paraId="5D0F04A1" w14:textId="77777777" w:rsidR="00DE7B2B" w:rsidRDefault="003254E9">
      <w:pPr>
        <w:widowControl/>
        <w:ind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（二）项目地址：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示范区宏腾路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以南，隆昌路以北，青梅路以西，兰亭路以东。</w:t>
      </w:r>
    </w:p>
    <w:p w14:paraId="71B51E0E" w14:textId="77777777" w:rsidR="00DE7B2B" w:rsidRDefault="003254E9">
      <w:pPr>
        <w:widowControl/>
        <w:ind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基本情况</w:t>
      </w:r>
      <w:r>
        <w:rPr>
          <w:rFonts w:ascii="仿宋_GB2312" w:eastAsia="仿宋_GB2312" w:hAnsi="仿宋_GB2312" w:cs="仿宋_GB2312"/>
          <w:b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土地用途为住宅用地，地块出让面积65.895亩（43930平方米），出让年限70年，容积率&lt;2.5，建筑密度&lt;25%，绿地率≥35%，建筑总高度不高于80米，成交价格21649万元（约328.53万元/亩）。  </w:t>
      </w:r>
    </w:p>
    <w:p w14:paraId="0D4234C5" w14:textId="77777777" w:rsidR="00DE7B2B" w:rsidRDefault="003254E9">
      <w:pPr>
        <w:widowControl/>
        <w:ind w:firstLineChars="200" w:firstLine="643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b/>
          <w:sz w:val="32"/>
          <w:szCs w:val="32"/>
        </w:rPr>
        <w:t>四）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区域概况：</w:t>
      </w:r>
      <w:r>
        <w:rPr>
          <w:rFonts w:ascii="仿宋_GB2312" w:eastAsia="仿宋_GB2312" w:hAnsi="仿宋_GB2312" w:cs="仿宋_GB2312"/>
          <w:sz w:val="32"/>
          <w:szCs w:val="32"/>
        </w:rPr>
        <w:t>该地块位于许昌市重点发展的示范区核心区域，紧邻行政中心，周边知名楼盘聚集，配套成熟。</w:t>
      </w:r>
      <w:r>
        <w:rPr>
          <w:rFonts w:ascii="仿宋_GB2312" w:eastAsia="仿宋_GB2312" w:hAnsi="仿宋_GB2312" w:cs="仿宋_GB2312"/>
          <w:bCs/>
          <w:sz w:val="32"/>
          <w:szCs w:val="32"/>
        </w:rPr>
        <w:t>享有优质生态资源，毗邻芙蓉湖（约705亩）、中央公园（约3300亩）等</w:t>
      </w:r>
      <w:r>
        <w:rPr>
          <w:rFonts w:ascii="仿宋_GB2312" w:eastAsia="仿宋_GB2312" w:hAnsi="仿宋_GB2312" w:cs="仿宋_GB2312"/>
          <w:sz w:val="32"/>
          <w:szCs w:val="32"/>
        </w:rPr>
        <w:t>大型公园，居住环境优越。</w:t>
      </w:r>
    </w:p>
    <w:p w14:paraId="7EB4D36C" w14:textId="48DC5B02" w:rsidR="00DE7B2B" w:rsidRDefault="003254E9">
      <w:pPr>
        <w:widowControl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项目周边</w:t>
      </w:r>
      <w:r>
        <w:rPr>
          <w:rFonts w:ascii="仿宋_GB2312" w:eastAsia="仿宋_GB2312" w:hAnsi="仿宋_GB2312" w:cs="仿宋_GB2312"/>
          <w:sz w:val="32"/>
          <w:szCs w:val="32"/>
        </w:rPr>
        <w:t>教育（如许昌市实验小学万通街校区、兰亭路小学、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许昌市第一中学隆昌路校区</w:t>
      </w:r>
      <w:r>
        <w:rPr>
          <w:rFonts w:ascii="仿宋_GB2312" w:eastAsia="仿宋_GB2312" w:hAnsi="仿宋_GB2312" w:cs="仿宋_GB2312"/>
          <w:sz w:val="32"/>
          <w:szCs w:val="32"/>
        </w:rPr>
        <w:t>）、医疗（如许昌市中心医院）、商业（如德</w:t>
      </w:r>
      <w:r w:rsidR="00761B2F">
        <w:rPr>
          <w:rFonts w:ascii="仿宋_GB2312" w:eastAsia="仿宋_GB2312" w:hAnsi="仿宋_GB2312" w:cs="仿宋_GB2312" w:hint="eastAsia"/>
          <w:sz w:val="32"/>
          <w:szCs w:val="32"/>
        </w:rPr>
        <w:t>仕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堡生活广场）及产业（如许昌智能产业园、许昌卷烟厂）等配套资源丰富。</w:t>
      </w:r>
    </w:p>
    <w:p w14:paraId="1CAEA131" w14:textId="77777777" w:rsidR="00DE7B2B" w:rsidRDefault="003254E9">
      <w:pPr>
        <w:widowControl/>
        <w:ind w:firstLine="640"/>
        <w:textAlignment w:val="baseline"/>
        <w:rPr>
          <w:rFonts w:ascii="黑体" w:eastAsia="黑体" w:hAnsi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二、合作条件</w:t>
      </w:r>
    </w:p>
    <w:p w14:paraId="01C32CF9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（一）合作参数</w:t>
      </w:r>
    </w:p>
    <w:p w14:paraId="32F07CFE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1.合作地价。</w:t>
      </w:r>
      <w:r>
        <w:rPr>
          <w:rFonts w:ascii="仿宋_GB2312" w:eastAsia="仿宋_GB2312" w:hAnsi="仿宋_GB2312" w:cs="仿宋_GB2312" w:hint="eastAsia"/>
          <w:sz w:val="32"/>
          <w:szCs w:val="32"/>
        </w:rPr>
        <w:t>合作开发地价以项目公司取得的原始土地单价为基准（该条款作为竞争性条款）。</w:t>
      </w:r>
    </w:p>
    <w:p w14:paraId="062DCD93" w14:textId="77777777" w:rsidR="00DE7B2B" w:rsidRDefault="003254E9">
      <w:pPr>
        <w:pStyle w:val="13"/>
        <w:spacing w:after="0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2.股权转让。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通过向中标方转让项目公司100%股权的方式进行合作</w:t>
      </w:r>
      <w:r>
        <w:rPr>
          <w:rFonts w:ascii="仿宋_GB2312" w:eastAsia="仿宋_GB2312" w:hAnsi="仿宋_GB2312" w:cs="仿宋_GB2312" w:hint="eastAsia"/>
          <w:sz w:val="32"/>
          <w:szCs w:val="32"/>
        </w:rPr>
        <w:t>（该条款作为响应条款）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7BBF0CE5" w14:textId="2F3B0E46" w:rsidR="00DE7B2B" w:rsidRDefault="003254E9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3.借款利率。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国有公司前期土地成交价款投入</w:t>
      </w:r>
      <w:r w:rsidR="007F289A">
        <w:rPr>
          <w:rFonts w:ascii="仿宋_GB2312" w:eastAsia="仿宋_GB2312" w:hAnsi="仿宋_GB2312" w:cs="仿宋_GB2312" w:hint="eastAsia"/>
          <w:sz w:val="32"/>
          <w:szCs w:val="32"/>
        </w:rPr>
        <w:t>作</w:t>
      </w:r>
      <w:r>
        <w:rPr>
          <w:rFonts w:ascii="仿宋_GB2312" w:eastAsia="仿宋_GB2312" w:hAnsi="仿宋_GB2312" w:cs="仿宋_GB2312" w:hint="eastAsia"/>
          <w:sz w:val="32"/>
          <w:szCs w:val="32"/>
        </w:rPr>
        <w:t>为股东借款，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按照不低于5%的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年化利率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计息</w:t>
      </w:r>
      <w:r>
        <w:rPr>
          <w:rFonts w:ascii="仿宋_GB2312" w:eastAsia="仿宋_GB2312" w:hAnsi="仿宋_GB2312" w:cs="仿宋_GB2312" w:hint="eastAsia"/>
          <w:sz w:val="32"/>
          <w:szCs w:val="32"/>
        </w:rPr>
        <w:t>（该条款作为竞争性条款）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41FD50EB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4.还款保障</w:t>
      </w:r>
    </w:p>
    <w:p w14:paraId="7930D7D0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还款主体：项目公司为直接债务人。</w:t>
      </w:r>
    </w:p>
    <w:p w14:paraId="23B20E6C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还款安排：还款总期限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30</w:t>
      </w:r>
      <w:r>
        <w:rPr>
          <w:rFonts w:ascii="仿宋_GB2312" w:eastAsia="仿宋_GB2312" w:hAnsi="仿宋_GB2312" w:cs="仿宋_GB2312"/>
          <w:bCs/>
          <w:sz w:val="32"/>
          <w:szCs w:val="32"/>
        </w:rPr>
        <w:t>个月，允许提前还款。</w:t>
      </w:r>
    </w:p>
    <w:p w14:paraId="6CA908F6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（1）保证金。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发布招商公告后，意向合作方投标时须同步交纳300万元保证金，待确定合作方后5个工作日内无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息退还其他未中标方的保证金，</w:t>
      </w:r>
      <w:r>
        <w:rPr>
          <w:rFonts w:ascii="仿宋_GB2312" w:eastAsia="仿宋_GB2312" w:hAnsi="仿宋_GB2312" w:cs="仿宋_GB2312" w:hint="eastAsia"/>
          <w:sz w:val="32"/>
          <w:szCs w:val="32"/>
        </w:rPr>
        <w:t>未按期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交纳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保证金视为放弃投标。合作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保证金后期可冲抵首笔还款；若后期因合作方违约原因导致合作终止，保证金不予退还，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因国家法律、政府政策、规划调整、不可抗力和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文勘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因素影响除外</w:t>
      </w:r>
      <w:r>
        <w:rPr>
          <w:rFonts w:ascii="仿宋_GB2312" w:eastAsia="仿宋_GB2312" w:hAnsi="仿宋_GB2312" w:cs="仿宋_GB2312" w:hint="eastAsia"/>
          <w:sz w:val="32"/>
          <w:szCs w:val="32"/>
        </w:rPr>
        <w:t>（该条款作为响应条款）。</w:t>
      </w:r>
    </w:p>
    <w:p w14:paraId="71327287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（2）首笔还款。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合作方应在签订《股权转让协议》之日起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5个工作日内向国有公司偿还资金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不低于土地出让金总额的20%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公司股权转让完成之日起作为项目公司股东借款计息期的起点（该条款作为竞争性条款）。</w:t>
      </w:r>
    </w:p>
    <w:p w14:paraId="5EBBB802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（3）后续还款。</w:t>
      </w:r>
      <w:r>
        <w:rPr>
          <w:rFonts w:ascii="仿宋_GB2312" w:eastAsia="仿宋_GB2312" w:hAnsi="仿宋_GB2312" w:cs="仿宋_GB2312"/>
          <w:sz w:val="32"/>
          <w:szCs w:val="32"/>
        </w:rPr>
        <w:t>在不影响项目正常开发建设和销售的前提下，还款计划如下：</w:t>
      </w:r>
    </w:p>
    <w:p w14:paraId="63E466BE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自项目</w:t>
      </w:r>
      <w:proofErr w:type="gramEnd"/>
      <w:r>
        <w:rPr>
          <w:rFonts w:ascii="仿宋_GB2312" w:eastAsia="仿宋_GB2312" w:hAnsi="仿宋_GB2312" w:cs="仿宋_GB2312"/>
          <w:bCs/>
          <w:sz w:val="32"/>
          <w:szCs w:val="32"/>
        </w:rPr>
        <w:t>取</w:t>
      </w:r>
      <w:r>
        <w:rPr>
          <w:rFonts w:ascii="仿宋_GB2312" w:eastAsia="仿宋_GB2312" w:hAnsi="仿宋_GB2312" w:cs="仿宋_GB2312" w:hint="eastAsia"/>
          <w:sz w:val="32"/>
          <w:szCs w:val="32"/>
        </w:rPr>
        <w:t>得预售许可证后6个月内偿还借款金额2000万-2500万元；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取得预售许可证后1年内偿还借款金额5000万-7000万元；剩余全部借款本息须在总还款期限（自首笔还款日起算）30个月内清偿完毕（该条款作为响应条款）。 </w:t>
      </w:r>
    </w:p>
    <w:p w14:paraId="13AF4BA9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以上还款金额不包含首笔还款资金；如项目销售资金充裕，双方可协商提前还款，以降低合作方应承担的利息。</w:t>
      </w:r>
    </w:p>
    <w:p w14:paraId="78DAA65E" w14:textId="77777777" w:rsidR="00DE7B2B" w:rsidRDefault="003254E9">
      <w:pPr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5.借款抵押。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股权交易完成后，合作</w:t>
      </w:r>
      <w:r>
        <w:rPr>
          <w:rFonts w:ascii="仿宋_GB2312" w:eastAsia="仿宋_GB2312" w:hAnsi="仿宋_GB2312" w:cs="仿宋_GB2312"/>
          <w:bCs/>
          <w:sz w:val="32"/>
          <w:szCs w:val="32"/>
        </w:rPr>
        <w:t>方须提供足额有效的担保措施，担保价值覆盖（前期投入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-</w:t>
      </w:r>
      <w:r>
        <w:rPr>
          <w:rFonts w:ascii="仿宋_GB2312" w:eastAsia="仿宋_GB2312" w:hAnsi="仿宋_GB2312" w:cs="仿宋_GB2312"/>
          <w:bCs/>
          <w:sz w:val="32"/>
          <w:szCs w:val="32"/>
        </w:rPr>
        <w:t>首笔还款）的本金及利息，担保形式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为</w:t>
      </w:r>
      <w:r>
        <w:rPr>
          <w:rFonts w:ascii="仿宋_GB2312" w:eastAsia="仿宋_GB2312" w:hAnsi="仿宋_GB2312" w:cs="仿宋_GB2312"/>
          <w:bCs/>
          <w:sz w:val="32"/>
          <w:szCs w:val="32"/>
        </w:rPr>
        <w:t>：项目公司股权过户完成后合作方将项目公司的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股权质押至</w:t>
      </w:r>
      <w:r>
        <w:rPr>
          <w:rFonts w:ascii="仿宋_GB2312" w:eastAsia="仿宋_GB2312" w:hAnsi="仿宋_GB2312" w:cs="仿宋_GB2312"/>
          <w:bCs/>
          <w:sz w:val="32"/>
          <w:szCs w:val="32"/>
        </w:rPr>
        <w:t>国有公司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（该条款作为响应条款）。</w:t>
      </w:r>
    </w:p>
    <w:p w14:paraId="03386B71" w14:textId="77777777" w:rsidR="00DE7B2B" w:rsidRDefault="003254E9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6.固定收益。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在国有公司全部借款本息足额收回后，合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作方向国有公司支付不低于500万元作为固定收益；项目开发过程中的全部经营风险与亏损由合作方承担，国有公司不承担任何亏损风险。（该条款作为竞争性条款）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3C006A88" w14:textId="77777777" w:rsidR="00DE7B2B" w:rsidRDefault="003254E9">
      <w:pPr>
        <w:pStyle w:val="2"/>
        <w:ind w:firstLineChars="200" w:firstLine="643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竞争性评审因素包括：合作地价、借款利率、首笔还款比例、固定收益、项目实施方案等。</w:t>
      </w:r>
    </w:p>
    <w:p w14:paraId="5A9A6819" w14:textId="77777777" w:rsidR="00DE7B2B" w:rsidRDefault="003254E9">
      <w:pPr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（二）权利责任</w:t>
      </w:r>
    </w:p>
    <w:p w14:paraId="25539BBD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1.合作方：全权负责项目的开发建设、销售运营和日常管理等工作，对项目的整体盈利负责，</w:t>
      </w:r>
      <w:r>
        <w:rPr>
          <w:rFonts w:ascii="仿宋_GB2312" w:eastAsia="仿宋_GB2312" w:hAnsi="仿宋_GB2312" w:cs="仿宋_GB2312"/>
          <w:bCs/>
          <w:sz w:val="32"/>
          <w:szCs w:val="32"/>
        </w:rPr>
        <w:t>承担项目全部经营风险及亏损，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保证国有公司借款本息按期足额偿付，若逾期按银行同期LPR收取滞纳金。</w:t>
      </w:r>
    </w:p>
    <w:p w14:paraId="1731236C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2.国有公司：国有公司向项目公司派驻一名财务管理人员，通过监管财务印鉴、银行U盾等方式，</w:t>
      </w:r>
      <w:r>
        <w:rPr>
          <w:rFonts w:ascii="仿宋_GB2312" w:eastAsia="仿宋_GB2312" w:hAnsi="仿宋_GB2312" w:cs="仿宋_GB2312"/>
          <w:bCs/>
          <w:sz w:val="32"/>
          <w:szCs w:val="32"/>
        </w:rPr>
        <w:t>对项目公司资金收支实施全程监管。</w:t>
      </w:r>
    </w:p>
    <w:p w14:paraId="6EC67AA8" w14:textId="77777777" w:rsidR="00DE7B2B" w:rsidRDefault="003254E9">
      <w:pPr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（三）合作流程</w:t>
      </w:r>
    </w:p>
    <w:p w14:paraId="3D93D80D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1.国有公司发布招标公告，意向方递交投标文件及保证金。</w:t>
      </w:r>
    </w:p>
    <w:p w14:paraId="4EC52DB4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2.合作方在中标后5个工作日内，与国有公司签订《合作框架协议》。</w:t>
      </w:r>
    </w:p>
    <w:p w14:paraId="23DB72B3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3.国有公司在《合作框架协议》签订后5个工作日内，</w:t>
      </w:r>
      <w:r>
        <w:rPr>
          <w:rFonts w:ascii="仿宋_GB2312" w:eastAsia="仿宋_GB2312" w:hAnsi="仿宋_GB2312" w:cs="仿宋_GB2312"/>
          <w:sz w:val="32"/>
          <w:szCs w:val="32"/>
        </w:rPr>
        <w:t>启动</w:t>
      </w:r>
      <w:r>
        <w:rPr>
          <w:rFonts w:ascii="仿宋_GB2312" w:eastAsia="仿宋_GB2312" w:hAnsi="仿宋_GB2312" w:cs="仿宋_GB2312"/>
          <w:bCs/>
          <w:sz w:val="32"/>
          <w:szCs w:val="32"/>
        </w:rPr>
        <w:t>项目公司股权转让程序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1688AF14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合作方与国有公司完成股权交易程序并签订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《股权转让协议》后</w:t>
      </w:r>
      <w:r>
        <w:rPr>
          <w:rFonts w:ascii="仿宋_GB2312" w:eastAsia="仿宋_GB2312" w:hAnsi="仿宋_GB2312" w:cs="仿宋_GB2312" w:hint="eastAsia"/>
          <w:sz w:val="32"/>
          <w:szCs w:val="32"/>
        </w:rPr>
        <w:t>5个工作日内，合作方支付首笔还款。</w:t>
      </w:r>
    </w:p>
    <w:p w14:paraId="1F2920C0" w14:textId="6BA249CE" w:rsidR="00DE7B2B" w:rsidRPr="009D6D64" w:rsidRDefault="003254E9">
      <w:pPr>
        <w:ind w:firstLineChars="200" w:firstLine="640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 w:rsidRPr="009D6D64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5.合作方在</w:t>
      </w:r>
      <w:r w:rsidR="00CE1136">
        <w:rPr>
          <w:rFonts w:ascii="仿宋_GB2312" w:eastAsia="仿宋_GB2312" w:hAnsi="仿宋_GB2312" w:cs="仿宋_GB2312" w:hint="eastAsia"/>
          <w:bCs/>
          <w:sz w:val="32"/>
          <w:szCs w:val="32"/>
        </w:rPr>
        <w:t>取得</w:t>
      </w:r>
      <w:r w:rsidRPr="009D6D64">
        <w:rPr>
          <w:rFonts w:ascii="仿宋_GB2312" w:eastAsia="仿宋_GB2312" w:hAnsi="仿宋_GB2312" w:cs="仿宋_GB2312" w:hint="eastAsia"/>
          <w:bCs/>
          <w:sz w:val="32"/>
          <w:szCs w:val="32"/>
        </w:rPr>
        <w:t>项目公司100%股权后，应负责确保项目公司6个月内取得《施工许可证》并开工，12个月内达到商品房预售条件（取得预售许可证）。</w:t>
      </w:r>
    </w:p>
    <w:p w14:paraId="13E724A6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Segoe UI" w:hAnsi="Segoe UI" w:cs="Segoe UI"/>
          <w:kern w:val="0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项目公司向国有公司的</w:t>
      </w:r>
      <w:r>
        <w:rPr>
          <w:rFonts w:ascii="仿宋_GB2312" w:eastAsia="仿宋_GB2312" w:hAnsi="仿宋_GB2312" w:cs="仿宋_GB2312"/>
          <w:bCs/>
          <w:sz w:val="32"/>
          <w:szCs w:val="32"/>
        </w:rPr>
        <w:t>还款安排</w:t>
      </w:r>
      <w:r>
        <w:rPr>
          <w:rFonts w:ascii="仿宋_GB2312" w:eastAsia="仿宋_GB2312" w:hAnsi="仿宋_GB2312" w:cs="仿宋_GB2312"/>
          <w:sz w:val="32"/>
          <w:szCs w:val="32"/>
        </w:rPr>
        <w:t>（包括还款节点与金额）</w:t>
      </w:r>
      <w:r>
        <w:rPr>
          <w:rFonts w:ascii="仿宋_GB2312" w:eastAsia="仿宋_GB2312" w:hAnsi="仿宋_GB2312" w:cs="仿宋_GB2312"/>
          <w:bCs/>
          <w:sz w:val="32"/>
          <w:szCs w:val="32"/>
        </w:rPr>
        <w:t>不得与</w:t>
      </w:r>
      <w:r>
        <w:rPr>
          <w:rFonts w:ascii="仿宋_GB2312" w:eastAsia="仿宋_GB2312" w:hAnsi="仿宋_GB2312" w:cs="仿宋_GB2312"/>
          <w:sz w:val="32"/>
          <w:szCs w:val="32"/>
        </w:rPr>
        <w:t>项目销售进度或回款挂钩。还款资金来源</w:t>
      </w:r>
      <w:r>
        <w:rPr>
          <w:rFonts w:ascii="仿宋_GB2312" w:eastAsia="仿宋_GB2312" w:hAnsi="仿宋_GB2312" w:cs="仿宋_GB2312"/>
          <w:bCs/>
          <w:sz w:val="32"/>
          <w:szCs w:val="32"/>
        </w:rPr>
        <w:t>应多元化，不限于</w:t>
      </w:r>
      <w:r>
        <w:rPr>
          <w:rFonts w:ascii="仿宋_GB2312" w:eastAsia="仿宋_GB2312" w:hAnsi="仿宋_GB2312" w:cs="仿宋_GB2312"/>
          <w:sz w:val="32"/>
          <w:szCs w:val="32"/>
        </w:rPr>
        <w:t>项目销售回款。如任一还款节点项目销售回款不足当期应还款项，须以自有资金补足差额。</w:t>
      </w:r>
    </w:p>
    <w:p w14:paraId="5433060E" w14:textId="77777777" w:rsidR="00DE7B2B" w:rsidRDefault="003254E9">
      <w:pPr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</w:t>
      </w:r>
      <w:r>
        <w:rPr>
          <w:rFonts w:ascii="仿宋" w:eastAsia="仿宋" w:hAnsi="仿宋" w:cs="Segoe UI"/>
          <w:bCs/>
          <w:kern w:val="0"/>
        </w:rPr>
        <w:t xml:space="preserve"> </w:t>
      </w:r>
      <w:r>
        <w:rPr>
          <w:rFonts w:ascii="仿宋" w:eastAsia="仿宋" w:hAnsi="仿宋" w:cs="仿宋_GB2312"/>
          <w:bCs/>
          <w:sz w:val="32"/>
          <w:szCs w:val="32"/>
        </w:rPr>
        <w:t>国有公司按已收回本金占前期投入的比例，可同比例解除对应</w:t>
      </w:r>
      <w:r>
        <w:rPr>
          <w:rFonts w:ascii="仿宋" w:eastAsia="仿宋" w:hAnsi="仿宋" w:cs="仿宋_GB2312" w:hint="eastAsia"/>
          <w:bCs/>
          <w:sz w:val="32"/>
          <w:szCs w:val="32"/>
        </w:rPr>
        <w:t>质押股权</w:t>
      </w:r>
      <w:r>
        <w:rPr>
          <w:rFonts w:ascii="仿宋" w:eastAsia="仿宋" w:hAnsi="仿宋" w:cs="仿宋_GB2312"/>
          <w:bCs/>
          <w:sz w:val="32"/>
          <w:szCs w:val="32"/>
        </w:rPr>
        <w:t>。</w:t>
      </w:r>
    </w:p>
    <w:p w14:paraId="3C4145D4" w14:textId="77777777" w:rsidR="00DE7B2B" w:rsidRDefault="003254E9">
      <w:pPr>
        <w:ind w:firstLineChars="200" w:firstLine="640"/>
        <w:rPr>
          <w:rFonts w:ascii="仿宋" w:eastAsia="仿宋" w:hAnsi="仿宋" w:cs="仿宋_GB2312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8.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当</w:t>
      </w:r>
      <w:r>
        <w:rPr>
          <w:rFonts w:ascii="仿宋" w:eastAsia="仿宋" w:hAnsi="仿宋" w:cs="Segoe UI"/>
          <w:sz w:val="32"/>
          <w:szCs w:val="32"/>
          <w:shd w:val="clear" w:color="auto" w:fill="FFFFFF"/>
        </w:rPr>
        <w:t>合作</w:t>
      </w:r>
      <w:proofErr w:type="gramEnd"/>
      <w:r>
        <w:rPr>
          <w:rFonts w:ascii="仿宋" w:eastAsia="仿宋" w:hAnsi="仿宋" w:cs="仿宋_GB2312"/>
          <w:sz w:val="32"/>
          <w:szCs w:val="32"/>
        </w:rPr>
        <w:t>方</w:t>
      </w:r>
      <w:r>
        <w:rPr>
          <w:rFonts w:ascii="仿宋" w:eastAsia="仿宋" w:hAnsi="仿宋" w:cs="仿宋_GB2312"/>
          <w:bCs/>
          <w:sz w:val="32"/>
          <w:szCs w:val="32"/>
        </w:rPr>
        <w:t>发生根本性违约</w:t>
      </w:r>
      <w:r>
        <w:rPr>
          <w:rFonts w:ascii="仿宋" w:eastAsia="仿宋" w:hAnsi="仿宋" w:cs="仿宋_GB2312"/>
          <w:sz w:val="32"/>
          <w:szCs w:val="32"/>
        </w:rPr>
        <w:t>时，国有公司有权单方面终止双方所有合作协议，并向中标方及项目公司发出《合作终止及债务加速到期通知书》，项目公司所欠全部股东借款本金、利息立即到期，须在通知书送达30日内一次性清偿</w:t>
      </w:r>
      <w:r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14:paraId="42264CBB" w14:textId="77777777" w:rsidR="00DE7B2B" w:rsidRDefault="003254E9">
      <w:pPr>
        <w:widowControl/>
        <w:ind w:firstLineChars="200" w:firstLine="640"/>
        <w:textAlignment w:val="baseline"/>
        <w:rPr>
          <w:rFonts w:ascii="黑体" w:eastAsia="黑体" w:hAnsi="黑体" w:cs="微软雅黑"/>
          <w:szCs w:val="21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三、合作</w:t>
      </w:r>
      <w:proofErr w:type="gramStart"/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方资格</w:t>
      </w:r>
      <w:proofErr w:type="gramEnd"/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要求</w:t>
      </w:r>
    </w:p>
    <w:p w14:paraId="705350DE" w14:textId="3D2B3F11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（一）具有独立法人资格，持有合法有效的企业法人营业执照</w:t>
      </w:r>
      <w:r w:rsidR="00C276D5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11A1AC49" w14:textId="2B6F7096" w:rsidR="00DE7B2B" w:rsidRDefault="003254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（二）合作方企业法人单位不存在失信被执行人、重大税收违法案件</w:t>
      </w:r>
      <w:r w:rsidR="00C276D5">
        <w:rPr>
          <w:rFonts w:ascii="仿宋" w:eastAsia="仿宋" w:hAnsi="仿宋" w:hint="eastAsia"/>
          <w:sz w:val="32"/>
          <w:szCs w:val="32"/>
        </w:rPr>
        <w:t>。</w:t>
      </w:r>
    </w:p>
    <w:p w14:paraId="0C6CF6D8" w14:textId="77777777" w:rsidR="00DE7B2B" w:rsidRDefault="003254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（三）合作方或其控股股东具备房地产开发运营的经验，近五年内具体实施过10万平方及以上的同类房地产开发项目，且项目已基本完成交付。</w:t>
      </w:r>
    </w:p>
    <w:p w14:paraId="109D90CE" w14:textId="77777777" w:rsidR="00DE7B2B" w:rsidRDefault="003254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（四）所投资金需满足项目前期资金需求，保证项目顺</w:t>
      </w:r>
      <w:r>
        <w:rPr>
          <w:rFonts w:ascii="仿宋" w:eastAsia="仿宋" w:hAnsi="仿宋" w:hint="eastAsia"/>
          <w:sz w:val="32"/>
          <w:szCs w:val="32"/>
        </w:rPr>
        <w:lastRenderedPageBreak/>
        <w:t>利实施。</w:t>
      </w:r>
    </w:p>
    <w:p w14:paraId="13136C0C" w14:textId="77777777" w:rsidR="00DE7B2B" w:rsidRDefault="003254E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（五）合作方或其控股股东近两年财务状况良好，企业未处于亏损经营状态或破产状态，企业未发生被责令停业、财产被接管或冻结；拥有足够的自有资金满足项目开发前期资金需求，社会信誉良好。</w:t>
      </w:r>
    </w:p>
    <w:p w14:paraId="4E06C0A2" w14:textId="77777777" w:rsidR="00DE7B2B" w:rsidRDefault="003254E9">
      <w:pPr>
        <w:ind w:firstLineChars="200" w:firstLine="640"/>
        <w:rPr>
          <w:rFonts w:ascii="仿宋_GB2312" w:eastAsia="仿宋_GB2312" w:hAnsi="仿宋_GB2312" w:cs="仿宋_GB2312"/>
          <w:bCs/>
          <w:strike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（六）不允许联合体受让。</w:t>
      </w:r>
    </w:p>
    <w:p w14:paraId="358FBF18" w14:textId="77777777" w:rsidR="00DE7B2B" w:rsidRDefault="003254E9">
      <w:pPr>
        <w:widowControl/>
        <w:ind w:firstLineChars="200" w:firstLine="640"/>
        <w:textAlignment w:val="baseline"/>
        <w:rPr>
          <w:rFonts w:ascii="黑体" w:eastAsia="黑体" w:hAnsi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四、评审办法</w:t>
      </w:r>
    </w:p>
    <w:p w14:paraId="70FD337F" w14:textId="77777777" w:rsidR="00DE7B2B" w:rsidRDefault="00DE7B2B">
      <w:pPr>
        <w:widowControl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1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60"/>
        <w:gridCol w:w="1553"/>
        <w:gridCol w:w="5460"/>
        <w:gridCol w:w="1100"/>
        <w:gridCol w:w="7"/>
      </w:tblGrid>
      <w:tr w:rsidR="00DE7B2B" w14:paraId="0207BE1B" w14:textId="77777777">
        <w:trPr>
          <w:trHeight w:val="31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7A79" w14:textId="77777777" w:rsidR="00DE7B2B" w:rsidRDefault="003254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评审</w:t>
            </w:r>
          </w:p>
          <w:p w14:paraId="59E0C1EC" w14:textId="77777777" w:rsidR="00DE7B2B" w:rsidRDefault="003254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方法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C01E" w14:textId="77777777" w:rsidR="00DE7B2B" w:rsidRDefault="003254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评审因素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906C" w14:textId="77777777" w:rsidR="00DE7B2B" w:rsidRDefault="003254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评审标准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7069" w14:textId="77777777" w:rsidR="00DE7B2B" w:rsidRDefault="003254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DE7B2B" w14:paraId="548F171A" w14:textId="77777777">
        <w:trPr>
          <w:trHeight w:val="117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C8E4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响应性</w:t>
            </w:r>
          </w:p>
          <w:p w14:paraId="5C3EE472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评审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1DD9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资质条件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0676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满足本方案合作</w:t>
            </w:r>
            <w:proofErr w:type="gramStart"/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方资格</w:t>
            </w:r>
            <w:proofErr w:type="gramEnd"/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741" w14:textId="77777777" w:rsidR="00DE7B2B" w:rsidRDefault="003254E9">
            <w:pPr>
              <w:widowControl/>
              <w:jc w:val="left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各意向合作方必须满足响应性条款（每项20分，基础分总分60分）</w:t>
            </w:r>
          </w:p>
        </w:tc>
      </w:tr>
      <w:tr w:rsidR="00DE7B2B" w14:paraId="3793455C" w14:textId="77777777">
        <w:trPr>
          <w:trHeight w:val="110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5FA9" w14:textId="77777777" w:rsidR="00DE7B2B" w:rsidRDefault="00DE7B2B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DBB8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合作股比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E757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合作方取得项目公司100%股权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BAE8" w14:textId="77777777" w:rsidR="00DE7B2B" w:rsidRDefault="00DE7B2B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DE7B2B" w14:paraId="1C112944" w14:textId="77777777">
        <w:trPr>
          <w:trHeight w:val="3008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EFB7" w14:textId="77777777" w:rsidR="00DE7B2B" w:rsidRDefault="00DE7B2B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754E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抵押条款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C748" w14:textId="77777777" w:rsidR="00DE7B2B" w:rsidRDefault="003254E9">
            <w:pPr>
              <w:widowControl/>
              <w:jc w:val="left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Cs/>
                <w:kern w:val="0"/>
                <w:sz w:val="28"/>
                <w:szCs w:val="28"/>
              </w:rPr>
              <w:t>股权交易完成后，合作</w:t>
            </w:r>
            <w:r>
              <w:rPr>
                <w:rFonts w:ascii="宋体" w:hAnsi="宋体" w:cs="仿宋_GB2312"/>
                <w:bCs/>
                <w:kern w:val="0"/>
                <w:sz w:val="28"/>
                <w:szCs w:val="28"/>
              </w:rPr>
              <w:t>方须提供足额有效的担保措施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FADB" w14:textId="77777777" w:rsidR="00DE7B2B" w:rsidRDefault="00DE7B2B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DE7B2B" w14:paraId="2A031EC0" w14:textId="77777777">
        <w:trPr>
          <w:gridAfter w:val="1"/>
          <w:wAfter w:w="7" w:type="dxa"/>
          <w:trHeight w:hRule="exact" w:val="1428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639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26AFE318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44A7CB10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7425F941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56E636E7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竞争性评审</w:t>
            </w:r>
          </w:p>
          <w:p w14:paraId="71C483BD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75104786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3578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lastRenderedPageBreak/>
              <w:t>合作地价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714" w14:textId="77777777" w:rsidR="00DE7B2B" w:rsidRDefault="003254E9">
            <w:pPr>
              <w:widowControl/>
              <w:jc w:val="left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以项目公司取得的每亩土地单价作为合作基准地价，每亩提高金额达到1万元得1分。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F09" w14:textId="77777777" w:rsidR="00DE7B2B" w:rsidRDefault="00DE7B2B">
            <w:pPr>
              <w:widowControl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</w:p>
          <w:p w14:paraId="45100653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</w:p>
          <w:p w14:paraId="12CF66D6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</w:p>
          <w:p w14:paraId="39A8DA90" w14:textId="77777777" w:rsidR="00DE7B2B" w:rsidRDefault="00DE7B2B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</w:p>
          <w:p w14:paraId="5572011B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不设上限</w:t>
            </w:r>
          </w:p>
          <w:p w14:paraId="7BF9E77E" w14:textId="77777777" w:rsidR="00DE7B2B" w:rsidRDefault="00DE7B2B">
            <w:pPr>
              <w:widowControl/>
              <w:jc w:val="left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</w:tr>
      <w:tr w:rsidR="00DE7B2B" w14:paraId="66B5A4BB" w14:textId="77777777">
        <w:trPr>
          <w:gridAfter w:val="1"/>
          <w:wAfter w:w="7" w:type="dxa"/>
          <w:trHeight w:hRule="exact" w:val="127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600" w14:textId="77777777" w:rsidR="00DE7B2B" w:rsidRDefault="00DE7B2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A44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首笔偿还借款额度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A1D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以土地出让总价款的20%作为首笔偿还借款基准额度，每提高1%的比例得1分。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ECA" w14:textId="77777777" w:rsidR="00DE7B2B" w:rsidRDefault="00DE7B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E7B2B" w14:paraId="490EAD5D" w14:textId="77777777">
        <w:trPr>
          <w:gridAfter w:val="1"/>
          <w:wAfter w:w="7" w:type="dxa"/>
          <w:trHeight w:hRule="exact" w:val="1416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CEA" w14:textId="77777777" w:rsidR="00DE7B2B" w:rsidRDefault="00DE7B2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A45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借款利率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B68A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以年化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5%作为股东借款的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基准年化利率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，每提高0.1%得0.5分。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B343" w14:textId="77777777" w:rsidR="00DE7B2B" w:rsidRDefault="00DE7B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E7B2B" w14:paraId="6676AA4C" w14:textId="77777777">
        <w:trPr>
          <w:gridAfter w:val="1"/>
          <w:wAfter w:w="7" w:type="dxa"/>
          <w:trHeight w:hRule="exact" w:val="2094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F00" w14:textId="77777777" w:rsidR="00DE7B2B" w:rsidRDefault="00DE7B2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0A0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固定收益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3B5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FF0000"/>
                <w:kern w:val="0"/>
                <w:sz w:val="28"/>
                <w:szCs w:val="28"/>
                <w:highlight w:val="yellow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在国有公司借款本息足额收回后，由合作方给予国有公司固定收益，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以500万元作为固定收益基准额度，每提高50万元得1分。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FB2" w14:textId="77777777" w:rsidR="00DE7B2B" w:rsidRDefault="00DE7B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E7B2B" w14:paraId="5C168851" w14:textId="77777777">
        <w:trPr>
          <w:gridAfter w:val="1"/>
          <w:wAfter w:w="7" w:type="dxa"/>
          <w:trHeight w:hRule="exact" w:val="226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4E0" w14:textId="77777777" w:rsidR="00DE7B2B" w:rsidRDefault="00DE7B2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629" w14:textId="77777777" w:rsidR="00DE7B2B" w:rsidRDefault="003254E9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项目实施</w:t>
            </w:r>
          </w:p>
          <w:p w14:paraId="351D4AC2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方案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D5F5" w14:textId="0E72D75D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合作方提交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对项目定位、产品设计、成本控制、销售策略、去化保障、团队配置等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切实可行的项目实施方案</w:t>
            </w:r>
            <w:r w:rsidR="003D7AD9">
              <w:rPr>
                <w:rFonts w:ascii="宋体" w:hAnsi="宋体" w:cs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最高得10分。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DE8" w14:textId="77777777" w:rsidR="00DE7B2B" w:rsidRDefault="00DE7B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E7B2B" w14:paraId="286C392C" w14:textId="77777777">
        <w:trPr>
          <w:gridAfter w:val="1"/>
          <w:wAfter w:w="7" w:type="dxa"/>
          <w:trHeight w:hRule="exact" w:val="3707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412" w14:textId="77777777" w:rsidR="00DE7B2B" w:rsidRDefault="00DE7B2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CD26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/>
                <w:sz w:val="28"/>
                <w:szCs w:val="28"/>
              </w:rPr>
              <w:t>去化率</w:t>
            </w:r>
          </w:p>
          <w:p w14:paraId="3ED4AB9C" w14:textId="77777777" w:rsidR="00DE7B2B" w:rsidRDefault="003254E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/>
                <w:sz w:val="28"/>
                <w:szCs w:val="28"/>
              </w:rPr>
              <w:t>承诺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16F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合作方应制</w:t>
            </w:r>
            <w:proofErr w:type="gramStart"/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定科学</w:t>
            </w:r>
            <w:proofErr w:type="gramEnd"/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合理的项目开发与销售计划，承诺在取得预售许可证后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12</w:t>
            </w:r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个月内去化率：</w:t>
            </w:r>
          </w:p>
          <w:p w14:paraId="74A1D6ED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50%</w:t>
            </w:r>
            <w:r>
              <w:rPr>
                <w:rFonts w:asciiTheme="minorEastAsia" w:eastAsiaTheme="minorEastAsia" w:hAnsiTheme="minorEastAsia" w:cs="Segoe UI"/>
                <w:sz w:val="28"/>
                <w:szCs w:val="28"/>
                <w:shd w:val="clear" w:color="auto" w:fill="FFFFFF"/>
              </w:rPr>
              <w:t>~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60</w:t>
            </w:r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%，加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3分</w:t>
            </w:r>
            <w:r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  <w:t>。</w:t>
            </w:r>
          </w:p>
          <w:p w14:paraId="782F2C49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60%</w:t>
            </w:r>
            <w:r>
              <w:rPr>
                <w:rFonts w:asciiTheme="minorEastAsia" w:eastAsiaTheme="minorEastAsia" w:hAnsiTheme="minorEastAsia" w:cs="Segoe UI"/>
                <w:sz w:val="28"/>
                <w:szCs w:val="28"/>
                <w:shd w:val="clear" w:color="auto" w:fill="FFFFFF"/>
              </w:rPr>
              <w:t>~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8"/>
                <w:szCs w:val="28"/>
              </w:rPr>
              <w:t>70%，加6分。</w:t>
            </w:r>
          </w:p>
          <w:p w14:paraId="6DC3099B" w14:textId="77777777" w:rsidR="00DE7B2B" w:rsidRDefault="003254E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70%</w:t>
            </w:r>
            <w:r>
              <w:rPr>
                <w:rFonts w:asciiTheme="minorEastAsia" w:eastAsiaTheme="minorEastAsia" w:hAnsiTheme="minorEastAsia" w:cs="Segoe UI"/>
                <w:sz w:val="28"/>
                <w:szCs w:val="28"/>
                <w:shd w:val="clear" w:color="auto" w:fill="FFFFFF"/>
              </w:rPr>
              <w:t>~</w:t>
            </w: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80%，加10分。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5C9" w14:textId="77777777" w:rsidR="00DE7B2B" w:rsidRDefault="00DE7B2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6768091D" w14:textId="77777777" w:rsidR="00DE7B2B" w:rsidRDefault="00DE7B2B">
      <w:pPr>
        <w:jc w:val="right"/>
        <w:rPr>
          <w:rFonts w:ascii="黑体" w:eastAsia="黑体" w:hAnsi="宋体"/>
          <w:kern w:val="0"/>
          <w:sz w:val="28"/>
          <w:szCs w:val="28"/>
          <w:shd w:val="clear" w:color="auto" w:fill="FFFFFF"/>
        </w:rPr>
      </w:pPr>
    </w:p>
    <w:p w14:paraId="488E1BE4" w14:textId="7E6B7053" w:rsidR="00DE7B2B" w:rsidRDefault="003254E9">
      <w:pPr>
        <w:jc w:val="right"/>
      </w:pP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2025年</w:t>
      </w:r>
      <w:r w:rsidR="003E63E9"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12</w:t>
      </w: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月</w:t>
      </w:r>
      <w:r w:rsidR="003E63E9"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15</w:t>
      </w:r>
      <w:r>
        <w:rPr>
          <w:rFonts w:ascii="黑体" w:eastAsia="黑体" w:hAnsi="宋体" w:hint="eastAsia"/>
          <w:kern w:val="0"/>
          <w:sz w:val="32"/>
          <w:szCs w:val="32"/>
          <w:shd w:val="clear" w:color="auto" w:fill="FFFFFF"/>
        </w:rPr>
        <w:t>日</w:t>
      </w:r>
    </w:p>
    <w:sectPr w:rsidR="00DE7B2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F27A3" w14:textId="77777777" w:rsidR="00CB1F3E" w:rsidRDefault="00CB1F3E">
      <w:r>
        <w:separator/>
      </w:r>
    </w:p>
  </w:endnote>
  <w:endnote w:type="continuationSeparator" w:id="0">
    <w:p w14:paraId="25F68257" w14:textId="77777777" w:rsidR="00CB1F3E" w:rsidRDefault="00CB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656100"/>
    </w:sdtPr>
    <w:sdtEndPr/>
    <w:sdtContent>
      <w:p w14:paraId="5A1F9B3B" w14:textId="77777777" w:rsidR="00DE7B2B" w:rsidRDefault="003254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B2F" w:rsidRPr="00761B2F">
          <w:rPr>
            <w:noProof/>
            <w:lang w:val="zh-CN"/>
          </w:rPr>
          <w:t>6</w:t>
        </w:r>
        <w:r>
          <w:fldChar w:fldCharType="end"/>
        </w:r>
      </w:p>
    </w:sdtContent>
  </w:sdt>
  <w:p w14:paraId="44329911" w14:textId="77777777" w:rsidR="00DE7B2B" w:rsidRDefault="00DE7B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1D9BD" w14:textId="77777777" w:rsidR="00CB1F3E" w:rsidRDefault="00CB1F3E">
      <w:r>
        <w:separator/>
      </w:r>
    </w:p>
  </w:footnote>
  <w:footnote w:type="continuationSeparator" w:id="0">
    <w:p w14:paraId="7AC49A53" w14:textId="77777777" w:rsidR="00CB1F3E" w:rsidRDefault="00CB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GI0YTBhZThhOTg4MTlhN2NkNzhjY2U4ZGQzZmMifQ=="/>
  </w:docVars>
  <w:rsids>
    <w:rsidRoot w:val="005D7E30"/>
    <w:rsid w:val="0000024F"/>
    <w:rsid w:val="00020211"/>
    <w:rsid w:val="000243D1"/>
    <w:rsid w:val="00024CF9"/>
    <w:rsid w:val="00026EC2"/>
    <w:rsid w:val="0004011A"/>
    <w:rsid w:val="00042CC3"/>
    <w:rsid w:val="00057261"/>
    <w:rsid w:val="0006198C"/>
    <w:rsid w:val="00066B53"/>
    <w:rsid w:val="00073D3B"/>
    <w:rsid w:val="00091A30"/>
    <w:rsid w:val="000A4D3C"/>
    <w:rsid w:val="000B74FD"/>
    <w:rsid w:val="000F2C0E"/>
    <w:rsid w:val="000F67DF"/>
    <w:rsid w:val="001039C7"/>
    <w:rsid w:val="00107B1B"/>
    <w:rsid w:val="001101A7"/>
    <w:rsid w:val="001203F6"/>
    <w:rsid w:val="0012463C"/>
    <w:rsid w:val="00131AB5"/>
    <w:rsid w:val="0013623D"/>
    <w:rsid w:val="00154B12"/>
    <w:rsid w:val="00182BF9"/>
    <w:rsid w:val="0018555E"/>
    <w:rsid w:val="001D1CB2"/>
    <w:rsid w:val="001D514E"/>
    <w:rsid w:val="001D72A1"/>
    <w:rsid w:val="00220183"/>
    <w:rsid w:val="002219BC"/>
    <w:rsid w:val="002225E4"/>
    <w:rsid w:val="002341DC"/>
    <w:rsid w:val="002469B9"/>
    <w:rsid w:val="002533C0"/>
    <w:rsid w:val="002645F2"/>
    <w:rsid w:val="00264629"/>
    <w:rsid w:val="00265C36"/>
    <w:rsid w:val="002C2CA2"/>
    <w:rsid w:val="002F60B7"/>
    <w:rsid w:val="00306AF3"/>
    <w:rsid w:val="0031036B"/>
    <w:rsid w:val="003254E9"/>
    <w:rsid w:val="00325606"/>
    <w:rsid w:val="0033225C"/>
    <w:rsid w:val="00340302"/>
    <w:rsid w:val="003500FA"/>
    <w:rsid w:val="00363FF6"/>
    <w:rsid w:val="00373168"/>
    <w:rsid w:val="00377611"/>
    <w:rsid w:val="00380CC4"/>
    <w:rsid w:val="00382FBB"/>
    <w:rsid w:val="00384B9C"/>
    <w:rsid w:val="003B0879"/>
    <w:rsid w:val="003B7660"/>
    <w:rsid w:val="003D3F21"/>
    <w:rsid w:val="003D7AD9"/>
    <w:rsid w:val="003D7E6F"/>
    <w:rsid w:val="003E270D"/>
    <w:rsid w:val="003E63E9"/>
    <w:rsid w:val="003F33E1"/>
    <w:rsid w:val="00404E96"/>
    <w:rsid w:val="004259B8"/>
    <w:rsid w:val="00426095"/>
    <w:rsid w:val="0046411C"/>
    <w:rsid w:val="0047112C"/>
    <w:rsid w:val="00482441"/>
    <w:rsid w:val="00485D84"/>
    <w:rsid w:val="004B01C8"/>
    <w:rsid w:val="004B0B73"/>
    <w:rsid w:val="004B0FAB"/>
    <w:rsid w:val="004B2C8E"/>
    <w:rsid w:val="004B2D4B"/>
    <w:rsid w:val="004D14EB"/>
    <w:rsid w:val="004D23B2"/>
    <w:rsid w:val="004D2AF2"/>
    <w:rsid w:val="004D51DB"/>
    <w:rsid w:val="004D7273"/>
    <w:rsid w:val="004F2A6B"/>
    <w:rsid w:val="004F2B27"/>
    <w:rsid w:val="004F63E2"/>
    <w:rsid w:val="0050210A"/>
    <w:rsid w:val="0050308E"/>
    <w:rsid w:val="0055200F"/>
    <w:rsid w:val="005728C6"/>
    <w:rsid w:val="0058074A"/>
    <w:rsid w:val="00583270"/>
    <w:rsid w:val="0058537D"/>
    <w:rsid w:val="005B13AD"/>
    <w:rsid w:val="005B2D58"/>
    <w:rsid w:val="005C1AC3"/>
    <w:rsid w:val="005C60D1"/>
    <w:rsid w:val="005D7E30"/>
    <w:rsid w:val="005F195D"/>
    <w:rsid w:val="005F3D3C"/>
    <w:rsid w:val="005F3FFD"/>
    <w:rsid w:val="005F759F"/>
    <w:rsid w:val="00604612"/>
    <w:rsid w:val="00615DA3"/>
    <w:rsid w:val="00620AE6"/>
    <w:rsid w:val="006400E1"/>
    <w:rsid w:val="00645415"/>
    <w:rsid w:val="00647587"/>
    <w:rsid w:val="00647E49"/>
    <w:rsid w:val="00650058"/>
    <w:rsid w:val="006732BD"/>
    <w:rsid w:val="00676DDF"/>
    <w:rsid w:val="00691543"/>
    <w:rsid w:val="00691763"/>
    <w:rsid w:val="00697CF9"/>
    <w:rsid w:val="006B1035"/>
    <w:rsid w:val="006D1CB0"/>
    <w:rsid w:val="006E719D"/>
    <w:rsid w:val="00714815"/>
    <w:rsid w:val="007527CA"/>
    <w:rsid w:val="00761B2F"/>
    <w:rsid w:val="00774974"/>
    <w:rsid w:val="00775D07"/>
    <w:rsid w:val="00777B53"/>
    <w:rsid w:val="007975E6"/>
    <w:rsid w:val="007A159F"/>
    <w:rsid w:val="007B01AE"/>
    <w:rsid w:val="007C0777"/>
    <w:rsid w:val="007C5176"/>
    <w:rsid w:val="007C7D54"/>
    <w:rsid w:val="007D064A"/>
    <w:rsid w:val="007E0AA0"/>
    <w:rsid w:val="007E40BF"/>
    <w:rsid w:val="007E4CE1"/>
    <w:rsid w:val="007F289A"/>
    <w:rsid w:val="007F4AFD"/>
    <w:rsid w:val="00831024"/>
    <w:rsid w:val="00886925"/>
    <w:rsid w:val="008A1977"/>
    <w:rsid w:val="008D7261"/>
    <w:rsid w:val="008E2B80"/>
    <w:rsid w:val="008E5DC2"/>
    <w:rsid w:val="008F38E1"/>
    <w:rsid w:val="008F39EA"/>
    <w:rsid w:val="008F49D8"/>
    <w:rsid w:val="00927D8C"/>
    <w:rsid w:val="00931379"/>
    <w:rsid w:val="00950F75"/>
    <w:rsid w:val="00952002"/>
    <w:rsid w:val="00954658"/>
    <w:rsid w:val="009567CC"/>
    <w:rsid w:val="00973CB3"/>
    <w:rsid w:val="009863C3"/>
    <w:rsid w:val="009B28BB"/>
    <w:rsid w:val="009B7061"/>
    <w:rsid w:val="009B7D47"/>
    <w:rsid w:val="009C438F"/>
    <w:rsid w:val="009D6D64"/>
    <w:rsid w:val="009E0307"/>
    <w:rsid w:val="00A03F50"/>
    <w:rsid w:val="00A073F5"/>
    <w:rsid w:val="00A171D4"/>
    <w:rsid w:val="00A3019F"/>
    <w:rsid w:val="00A3408C"/>
    <w:rsid w:val="00A35B11"/>
    <w:rsid w:val="00A36137"/>
    <w:rsid w:val="00A37C07"/>
    <w:rsid w:val="00A51F3E"/>
    <w:rsid w:val="00A55716"/>
    <w:rsid w:val="00A656ED"/>
    <w:rsid w:val="00A86EFB"/>
    <w:rsid w:val="00A9406B"/>
    <w:rsid w:val="00A94694"/>
    <w:rsid w:val="00AA6500"/>
    <w:rsid w:val="00AD2D21"/>
    <w:rsid w:val="00AE07DA"/>
    <w:rsid w:val="00AE7648"/>
    <w:rsid w:val="00B17CBC"/>
    <w:rsid w:val="00B30F56"/>
    <w:rsid w:val="00B31E2A"/>
    <w:rsid w:val="00B439DB"/>
    <w:rsid w:val="00B43C37"/>
    <w:rsid w:val="00B56247"/>
    <w:rsid w:val="00B57396"/>
    <w:rsid w:val="00B81948"/>
    <w:rsid w:val="00B920E3"/>
    <w:rsid w:val="00B976A0"/>
    <w:rsid w:val="00BD5999"/>
    <w:rsid w:val="00BE1A67"/>
    <w:rsid w:val="00BE4FA3"/>
    <w:rsid w:val="00BF02B7"/>
    <w:rsid w:val="00BF4EA1"/>
    <w:rsid w:val="00C0545A"/>
    <w:rsid w:val="00C276D5"/>
    <w:rsid w:val="00C30763"/>
    <w:rsid w:val="00C31995"/>
    <w:rsid w:val="00C43E18"/>
    <w:rsid w:val="00C4623A"/>
    <w:rsid w:val="00C56684"/>
    <w:rsid w:val="00C57E19"/>
    <w:rsid w:val="00C60BD1"/>
    <w:rsid w:val="00C75E5C"/>
    <w:rsid w:val="00C91EAB"/>
    <w:rsid w:val="00C9497B"/>
    <w:rsid w:val="00C951F7"/>
    <w:rsid w:val="00CB1F3E"/>
    <w:rsid w:val="00CC48F7"/>
    <w:rsid w:val="00CE0354"/>
    <w:rsid w:val="00CE1136"/>
    <w:rsid w:val="00CE1735"/>
    <w:rsid w:val="00CF0FF4"/>
    <w:rsid w:val="00D270E2"/>
    <w:rsid w:val="00D3306D"/>
    <w:rsid w:val="00D3403B"/>
    <w:rsid w:val="00D618DD"/>
    <w:rsid w:val="00D66AEE"/>
    <w:rsid w:val="00D72286"/>
    <w:rsid w:val="00D83CF8"/>
    <w:rsid w:val="00D84EA3"/>
    <w:rsid w:val="00D87E46"/>
    <w:rsid w:val="00D9071E"/>
    <w:rsid w:val="00D93AF0"/>
    <w:rsid w:val="00DB4397"/>
    <w:rsid w:val="00DC1DDF"/>
    <w:rsid w:val="00DC2E3D"/>
    <w:rsid w:val="00DD402A"/>
    <w:rsid w:val="00DE6284"/>
    <w:rsid w:val="00DE7270"/>
    <w:rsid w:val="00DE7B2B"/>
    <w:rsid w:val="00E13245"/>
    <w:rsid w:val="00E328ED"/>
    <w:rsid w:val="00E6725F"/>
    <w:rsid w:val="00E75F96"/>
    <w:rsid w:val="00E76C5F"/>
    <w:rsid w:val="00E97202"/>
    <w:rsid w:val="00ED0FDB"/>
    <w:rsid w:val="00ED1D18"/>
    <w:rsid w:val="00ED522E"/>
    <w:rsid w:val="00EE3BE4"/>
    <w:rsid w:val="00EE4922"/>
    <w:rsid w:val="00F11F15"/>
    <w:rsid w:val="00F12B23"/>
    <w:rsid w:val="00F1581A"/>
    <w:rsid w:val="00F208DA"/>
    <w:rsid w:val="00F211EF"/>
    <w:rsid w:val="00F21660"/>
    <w:rsid w:val="00F23FC7"/>
    <w:rsid w:val="00F2486F"/>
    <w:rsid w:val="00F2570F"/>
    <w:rsid w:val="00F32F16"/>
    <w:rsid w:val="00F40F47"/>
    <w:rsid w:val="00F51E4D"/>
    <w:rsid w:val="00F6068B"/>
    <w:rsid w:val="00F66F5E"/>
    <w:rsid w:val="00F94229"/>
    <w:rsid w:val="00F954D6"/>
    <w:rsid w:val="00F972F5"/>
    <w:rsid w:val="00FB2682"/>
    <w:rsid w:val="00FB2CA9"/>
    <w:rsid w:val="00FB3162"/>
    <w:rsid w:val="00FF2DCC"/>
    <w:rsid w:val="00FF36FE"/>
    <w:rsid w:val="00FF76C7"/>
    <w:rsid w:val="01F36FCC"/>
    <w:rsid w:val="021F4265"/>
    <w:rsid w:val="036068E4"/>
    <w:rsid w:val="048C54B6"/>
    <w:rsid w:val="04DF1A8A"/>
    <w:rsid w:val="05CF1AAE"/>
    <w:rsid w:val="06112117"/>
    <w:rsid w:val="06A116ED"/>
    <w:rsid w:val="07027CB2"/>
    <w:rsid w:val="07681A01"/>
    <w:rsid w:val="08743A77"/>
    <w:rsid w:val="08BF40AC"/>
    <w:rsid w:val="09570034"/>
    <w:rsid w:val="0A4C1970"/>
    <w:rsid w:val="0A6842D0"/>
    <w:rsid w:val="0ADF0A36"/>
    <w:rsid w:val="0C881D57"/>
    <w:rsid w:val="108D503C"/>
    <w:rsid w:val="10CC55B8"/>
    <w:rsid w:val="12BB72B8"/>
    <w:rsid w:val="13DD188A"/>
    <w:rsid w:val="149503B7"/>
    <w:rsid w:val="14960E55"/>
    <w:rsid w:val="14975EDD"/>
    <w:rsid w:val="16AE750E"/>
    <w:rsid w:val="185A16FC"/>
    <w:rsid w:val="186802BC"/>
    <w:rsid w:val="18786026"/>
    <w:rsid w:val="1A2C356C"/>
    <w:rsid w:val="1A7016AA"/>
    <w:rsid w:val="1B1C0EEA"/>
    <w:rsid w:val="1C1D316C"/>
    <w:rsid w:val="1C625023"/>
    <w:rsid w:val="1C9D24FF"/>
    <w:rsid w:val="1D293D92"/>
    <w:rsid w:val="1EF70F65"/>
    <w:rsid w:val="219550E4"/>
    <w:rsid w:val="221C5C74"/>
    <w:rsid w:val="222F3BF9"/>
    <w:rsid w:val="23CC3CC7"/>
    <w:rsid w:val="24042E63"/>
    <w:rsid w:val="242D23BA"/>
    <w:rsid w:val="25E116AE"/>
    <w:rsid w:val="26217CFD"/>
    <w:rsid w:val="26C92E7D"/>
    <w:rsid w:val="27201D62"/>
    <w:rsid w:val="2849353B"/>
    <w:rsid w:val="28B22E8E"/>
    <w:rsid w:val="28CA642A"/>
    <w:rsid w:val="28F039B6"/>
    <w:rsid w:val="2D32459D"/>
    <w:rsid w:val="2D4542D1"/>
    <w:rsid w:val="2DE45BED"/>
    <w:rsid w:val="300541EB"/>
    <w:rsid w:val="30FA1876"/>
    <w:rsid w:val="314D409C"/>
    <w:rsid w:val="31556AAC"/>
    <w:rsid w:val="31855197"/>
    <w:rsid w:val="318555E4"/>
    <w:rsid w:val="324F5BF1"/>
    <w:rsid w:val="33BB353F"/>
    <w:rsid w:val="362C0724"/>
    <w:rsid w:val="37661A13"/>
    <w:rsid w:val="384B29B7"/>
    <w:rsid w:val="3A502507"/>
    <w:rsid w:val="3AB40CE8"/>
    <w:rsid w:val="3B4A51A8"/>
    <w:rsid w:val="3B5878C5"/>
    <w:rsid w:val="3B77252B"/>
    <w:rsid w:val="3D74650C"/>
    <w:rsid w:val="3E720C9E"/>
    <w:rsid w:val="3F0D09C6"/>
    <w:rsid w:val="3F6E5909"/>
    <w:rsid w:val="40BA1917"/>
    <w:rsid w:val="40D043A1"/>
    <w:rsid w:val="40ED4F53"/>
    <w:rsid w:val="41970A1B"/>
    <w:rsid w:val="41BE244C"/>
    <w:rsid w:val="42A41642"/>
    <w:rsid w:val="43A37B4B"/>
    <w:rsid w:val="446C43E1"/>
    <w:rsid w:val="447339C1"/>
    <w:rsid w:val="45230638"/>
    <w:rsid w:val="483416BA"/>
    <w:rsid w:val="48403BBB"/>
    <w:rsid w:val="486C0E54"/>
    <w:rsid w:val="487675DC"/>
    <w:rsid w:val="4A9F106C"/>
    <w:rsid w:val="4AC24D5B"/>
    <w:rsid w:val="4DBE3EFF"/>
    <w:rsid w:val="4E922C96"/>
    <w:rsid w:val="4ED17C62"/>
    <w:rsid w:val="4F073684"/>
    <w:rsid w:val="50016325"/>
    <w:rsid w:val="50884351"/>
    <w:rsid w:val="50AB1C3E"/>
    <w:rsid w:val="51D51818"/>
    <w:rsid w:val="52344790"/>
    <w:rsid w:val="52974D1F"/>
    <w:rsid w:val="53A32984"/>
    <w:rsid w:val="53EC2E48"/>
    <w:rsid w:val="54176117"/>
    <w:rsid w:val="545C1D7C"/>
    <w:rsid w:val="57DA7B88"/>
    <w:rsid w:val="58816255"/>
    <w:rsid w:val="58D740C7"/>
    <w:rsid w:val="59B30690"/>
    <w:rsid w:val="5A731BCE"/>
    <w:rsid w:val="5B18536D"/>
    <w:rsid w:val="5B2F1F99"/>
    <w:rsid w:val="5B61236E"/>
    <w:rsid w:val="5BD743DE"/>
    <w:rsid w:val="5D1551BE"/>
    <w:rsid w:val="5D1F7DEB"/>
    <w:rsid w:val="5DB22A0D"/>
    <w:rsid w:val="5DC0337C"/>
    <w:rsid w:val="5E055233"/>
    <w:rsid w:val="60B92304"/>
    <w:rsid w:val="62682234"/>
    <w:rsid w:val="63260125"/>
    <w:rsid w:val="645E744B"/>
    <w:rsid w:val="648A0240"/>
    <w:rsid w:val="65273CE0"/>
    <w:rsid w:val="663F32AC"/>
    <w:rsid w:val="66DB1226"/>
    <w:rsid w:val="6760797E"/>
    <w:rsid w:val="67D30150"/>
    <w:rsid w:val="680B78E9"/>
    <w:rsid w:val="6894168D"/>
    <w:rsid w:val="68B95597"/>
    <w:rsid w:val="69F36887"/>
    <w:rsid w:val="6AE10DD5"/>
    <w:rsid w:val="6B2A0087"/>
    <w:rsid w:val="6B40197F"/>
    <w:rsid w:val="6B633598"/>
    <w:rsid w:val="6B8005EE"/>
    <w:rsid w:val="6B8359E9"/>
    <w:rsid w:val="6BFD579B"/>
    <w:rsid w:val="6C30791F"/>
    <w:rsid w:val="6D050DAB"/>
    <w:rsid w:val="6DBC51E2"/>
    <w:rsid w:val="6E414065"/>
    <w:rsid w:val="6E933235"/>
    <w:rsid w:val="70912956"/>
    <w:rsid w:val="712E4649"/>
    <w:rsid w:val="714B6FA9"/>
    <w:rsid w:val="71FE04BF"/>
    <w:rsid w:val="72071122"/>
    <w:rsid w:val="72E70F53"/>
    <w:rsid w:val="735303AF"/>
    <w:rsid w:val="74876BD2"/>
    <w:rsid w:val="76A038F3"/>
    <w:rsid w:val="77A662C7"/>
    <w:rsid w:val="7A5E394C"/>
    <w:rsid w:val="7ABD0F17"/>
    <w:rsid w:val="7C480CB4"/>
    <w:rsid w:val="7CB74978"/>
    <w:rsid w:val="7D2C7C8E"/>
    <w:rsid w:val="7D3134F6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after="10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pPr>
      <w:spacing w:after="120"/>
    </w:pPr>
  </w:style>
  <w:style w:type="paragraph" w:customStyle="1" w:styleId="21">
    <w:name w:val="正文文本 21"/>
    <w:basedOn w:val="a"/>
    <w:qFormat/>
    <w:pPr>
      <w:spacing w:line="360" w:lineRule="auto"/>
    </w:pPr>
    <w:rPr>
      <w:rFonts w:ascii="楷体_GB2312" w:eastAsia="楷体_GB2312" w:hAnsi="宋体" w:cs="Times New Roman"/>
      <w:bCs/>
      <w:spacing w:val="-20"/>
      <w:sz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character" w:styleId="a7">
    <w:name w:val="FollowedHyperlink"/>
    <w:basedOn w:val="a0"/>
    <w:qFormat/>
    <w:rPr>
      <w:color w:val="00000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paragraph" w:customStyle="1" w:styleId="1">
    <w:name w:val="信息标题1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Times New Roman"/>
      <w:sz w:val="24"/>
    </w:rPr>
  </w:style>
  <w:style w:type="paragraph" w:customStyle="1" w:styleId="10">
    <w:name w:val="正文文本缩进1"/>
    <w:basedOn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customStyle="1" w:styleId="11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12">
    <w:name w:val="普通(网站)1"/>
    <w:basedOn w:val="a"/>
    <w:qFormat/>
    <w:pPr>
      <w:jc w:val="left"/>
    </w:pPr>
    <w:rPr>
      <w:kern w:val="0"/>
      <w:sz w:val="24"/>
    </w:rPr>
  </w:style>
  <w:style w:type="paragraph" w:customStyle="1" w:styleId="13">
    <w:name w:val="正文首行缩进1"/>
    <w:basedOn w:val="a3"/>
    <w:next w:val="210"/>
    <w:qFormat/>
    <w:pPr>
      <w:ind w:firstLineChars="100" w:firstLine="420"/>
    </w:pPr>
  </w:style>
  <w:style w:type="paragraph" w:customStyle="1" w:styleId="210">
    <w:name w:val="正文首行缩进 21"/>
    <w:basedOn w:val="10"/>
    <w:qFormat/>
    <w:pPr>
      <w:widowControl/>
      <w:spacing w:line="276" w:lineRule="auto"/>
      <w:ind w:firstLineChars="200" w:firstLine="420"/>
      <w:jc w:val="left"/>
    </w:pPr>
    <w:rPr>
      <w:rFonts w:eastAsia="仿宋_GB2312"/>
      <w:sz w:val="28"/>
    </w:rPr>
  </w:style>
  <w:style w:type="paragraph" w:customStyle="1" w:styleId="BodyTextFirstIndent1">
    <w:name w:val="Body Text First Indent1"/>
    <w:basedOn w:val="a3"/>
    <w:next w:val="BodyTextFirstIndent21"/>
    <w:qFormat/>
    <w:pPr>
      <w:ind w:firstLineChars="100" w:firstLine="420"/>
    </w:pPr>
  </w:style>
  <w:style w:type="paragraph" w:customStyle="1" w:styleId="BodyTextFirstIndent21">
    <w:name w:val="Body Text First Indent 21"/>
    <w:basedOn w:val="BodyTextIndent1"/>
    <w:qFormat/>
    <w:pPr>
      <w:widowControl/>
      <w:spacing w:line="276" w:lineRule="auto"/>
      <w:ind w:firstLine="420"/>
      <w:jc w:val="left"/>
    </w:pPr>
    <w:rPr>
      <w:rFonts w:eastAsia="仿宋_GB2312"/>
    </w:rPr>
  </w:style>
  <w:style w:type="paragraph" w:customStyle="1" w:styleId="BodyTextIndent1">
    <w:name w:val="Body Text Indent1"/>
    <w:basedOn w:val="a"/>
    <w:qFormat/>
    <w:pPr>
      <w:ind w:firstLineChars="200" w:firstLine="560"/>
    </w:pPr>
    <w:rPr>
      <w:sz w:val="28"/>
      <w:szCs w:val="28"/>
    </w:rPr>
  </w:style>
  <w:style w:type="paragraph" w:customStyle="1" w:styleId="BodyText21">
    <w:name w:val="Body Text 21"/>
    <w:basedOn w:val="a"/>
    <w:qFormat/>
    <w:pPr>
      <w:spacing w:line="360" w:lineRule="auto"/>
    </w:pPr>
    <w:rPr>
      <w:rFonts w:ascii="楷体_GB2312" w:eastAsia="楷体_GB2312" w:hAnsi="宋体" w:cs="Times New Roman"/>
      <w:bCs/>
      <w:spacing w:val="-20"/>
      <w:sz w:val="24"/>
    </w:rPr>
  </w:style>
  <w:style w:type="character" w:customStyle="1" w:styleId="hover">
    <w:name w:val="hover"/>
    <w:basedOn w:val="a0"/>
    <w:qFormat/>
  </w:style>
  <w:style w:type="character" w:customStyle="1" w:styleId="red">
    <w:name w:val="red"/>
    <w:basedOn w:val="a0"/>
    <w:qFormat/>
    <w:rPr>
      <w:color w:val="FF0000"/>
      <w:sz w:val="18"/>
      <w:szCs w:val="18"/>
    </w:rPr>
  </w:style>
  <w:style w:type="character" w:customStyle="1" w:styleId="red1">
    <w:name w:val="red1"/>
    <w:basedOn w:val="a0"/>
    <w:qFormat/>
    <w:rPr>
      <w:color w:val="FF0000"/>
      <w:sz w:val="18"/>
      <w:szCs w:val="18"/>
    </w:rPr>
  </w:style>
  <w:style w:type="character" w:customStyle="1" w:styleId="red2">
    <w:name w:val="red2"/>
    <w:basedOn w:val="a0"/>
    <w:qFormat/>
    <w:rPr>
      <w:color w:val="CC0000"/>
    </w:rPr>
  </w:style>
  <w:style w:type="character" w:customStyle="1" w:styleId="red3">
    <w:name w:val="red3"/>
    <w:basedOn w:val="a0"/>
    <w:qFormat/>
    <w:rPr>
      <w:color w:val="FF0000"/>
    </w:rPr>
  </w:style>
  <w:style w:type="character" w:customStyle="1" w:styleId="green">
    <w:name w:val="green"/>
    <w:basedOn w:val="a0"/>
    <w:qFormat/>
    <w:rPr>
      <w:color w:val="66AE00"/>
      <w:sz w:val="18"/>
      <w:szCs w:val="18"/>
    </w:rPr>
  </w:style>
  <w:style w:type="character" w:customStyle="1" w:styleId="green1">
    <w:name w:val="green1"/>
    <w:basedOn w:val="a0"/>
    <w:qFormat/>
    <w:rPr>
      <w:color w:val="66AE00"/>
      <w:sz w:val="18"/>
      <w:szCs w:val="18"/>
    </w:rPr>
  </w:style>
  <w:style w:type="character" w:customStyle="1" w:styleId="gb-jt">
    <w:name w:val="gb-jt"/>
    <w:basedOn w:val="a0"/>
    <w:qFormat/>
  </w:style>
  <w:style w:type="character" w:customStyle="1" w:styleId="right">
    <w:name w:val="right"/>
    <w:basedOn w:val="a0"/>
    <w:qFormat/>
    <w:rPr>
      <w:color w:val="999999"/>
      <w:sz w:val="18"/>
      <w:szCs w:val="18"/>
    </w:rPr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active4">
    <w:name w:val="active4"/>
    <w:basedOn w:val="a0"/>
    <w:qFormat/>
    <w:rPr>
      <w:color w:val="FFFFFF"/>
      <w:shd w:val="clear" w:color="010000" w:fill="2B7AFC"/>
    </w:rPr>
  </w:style>
  <w:style w:type="character" w:customStyle="1" w:styleId="Char">
    <w:name w:val="批注框文本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after="10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pPr>
      <w:spacing w:after="120"/>
    </w:pPr>
  </w:style>
  <w:style w:type="paragraph" w:customStyle="1" w:styleId="21">
    <w:name w:val="正文文本 21"/>
    <w:basedOn w:val="a"/>
    <w:qFormat/>
    <w:pPr>
      <w:spacing w:line="360" w:lineRule="auto"/>
    </w:pPr>
    <w:rPr>
      <w:rFonts w:ascii="楷体_GB2312" w:eastAsia="楷体_GB2312" w:hAnsi="宋体" w:cs="Times New Roman"/>
      <w:bCs/>
      <w:spacing w:val="-20"/>
      <w:sz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character" w:styleId="a7">
    <w:name w:val="FollowedHyperlink"/>
    <w:basedOn w:val="a0"/>
    <w:qFormat/>
    <w:rPr>
      <w:color w:val="000000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paragraph" w:customStyle="1" w:styleId="1">
    <w:name w:val="信息标题1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Times New Roman"/>
      <w:sz w:val="24"/>
    </w:rPr>
  </w:style>
  <w:style w:type="paragraph" w:customStyle="1" w:styleId="10">
    <w:name w:val="正文文本缩进1"/>
    <w:basedOn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customStyle="1" w:styleId="11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12">
    <w:name w:val="普通(网站)1"/>
    <w:basedOn w:val="a"/>
    <w:qFormat/>
    <w:pPr>
      <w:jc w:val="left"/>
    </w:pPr>
    <w:rPr>
      <w:kern w:val="0"/>
      <w:sz w:val="24"/>
    </w:rPr>
  </w:style>
  <w:style w:type="paragraph" w:customStyle="1" w:styleId="13">
    <w:name w:val="正文首行缩进1"/>
    <w:basedOn w:val="a3"/>
    <w:next w:val="210"/>
    <w:qFormat/>
    <w:pPr>
      <w:ind w:firstLineChars="100" w:firstLine="420"/>
    </w:pPr>
  </w:style>
  <w:style w:type="paragraph" w:customStyle="1" w:styleId="210">
    <w:name w:val="正文首行缩进 21"/>
    <w:basedOn w:val="10"/>
    <w:qFormat/>
    <w:pPr>
      <w:widowControl/>
      <w:spacing w:line="276" w:lineRule="auto"/>
      <w:ind w:firstLineChars="200" w:firstLine="420"/>
      <w:jc w:val="left"/>
    </w:pPr>
    <w:rPr>
      <w:rFonts w:eastAsia="仿宋_GB2312"/>
      <w:sz w:val="28"/>
    </w:rPr>
  </w:style>
  <w:style w:type="paragraph" w:customStyle="1" w:styleId="BodyTextFirstIndent1">
    <w:name w:val="Body Text First Indent1"/>
    <w:basedOn w:val="a3"/>
    <w:next w:val="BodyTextFirstIndent21"/>
    <w:qFormat/>
    <w:pPr>
      <w:ind w:firstLineChars="100" w:firstLine="420"/>
    </w:pPr>
  </w:style>
  <w:style w:type="paragraph" w:customStyle="1" w:styleId="BodyTextFirstIndent21">
    <w:name w:val="Body Text First Indent 21"/>
    <w:basedOn w:val="BodyTextIndent1"/>
    <w:qFormat/>
    <w:pPr>
      <w:widowControl/>
      <w:spacing w:line="276" w:lineRule="auto"/>
      <w:ind w:firstLine="420"/>
      <w:jc w:val="left"/>
    </w:pPr>
    <w:rPr>
      <w:rFonts w:eastAsia="仿宋_GB2312"/>
    </w:rPr>
  </w:style>
  <w:style w:type="paragraph" w:customStyle="1" w:styleId="BodyTextIndent1">
    <w:name w:val="Body Text Indent1"/>
    <w:basedOn w:val="a"/>
    <w:qFormat/>
    <w:pPr>
      <w:ind w:firstLineChars="200" w:firstLine="560"/>
    </w:pPr>
    <w:rPr>
      <w:sz w:val="28"/>
      <w:szCs w:val="28"/>
    </w:rPr>
  </w:style>
  <w:style w:type="paragraph" w:customStyle="1" w:styleId="BodyText21">
    <w:name w:val="Body Text 21"/>
    <w:basedOn w:val="a"/>
    <w:qFormat/>
    <w:pPr>
      <w:spacing w:line="360" w:lineRule="auto"/>
    </w:pPr>
    <w:rPr>
      <w:rFonts w:ascii="楷体_GB2312" w:eastAsia="楷体_GB2312" w:hAnsi="宋体" w:cs="Times New Roman"/>
      <w:bCs/>
      <w:spacing w:val="-20"/>
      <w:sz w:val="24"/>
    </w:rPr>
  </w:style>
  <w:style w:type="character" w:customStyle="1" w:styleId="hover">
    <w:name w:val="hover"/>
    <w:basedOn w:val="a0"/>
    <w:qFormat/>
  </w:style>
  <w:style w:type="character" w:customStyle="1" w:styleId="red">
    <w:name w:val="red"/>
    <w:basedOn w:val="a0"/>
    <w:qFormat/>
    <w:rPr>
      <w:color w:val="FF0000"/>
      <w:sz w:val="18"/>
      <w:szCs w:val="18"/>
    </w:rPr>
  </w:style>
  <w:style w:type="character" w:customStyle="1" w:styleId="red1">
    <w:name w:val="red1"/>
    <w:basedOn w:val="a0"/>
    <w:qFormat/>
    <w:rPr>
      <w:color w:val="FF0000"/>
      <w:sz w:val="18"/>
      <w:szCs w:val="18"/>
    </w:rPr>
  </w:style>
  <w:style w:type="character" w:customStyle="1" w:styleId="red2">
    <w:name w:val="red2"/>
    <w:basedOn w:val="a0"/>
    <w:qFormat/>
    <w:rPr>
      <w:color w:val="CC0000"/>
    </w:rPr>
  </w:style>
  <w:style w:type="character" w:customStyle="1" w:styleId="red3">
    <w:name w:val="red3"/>
    <w:basedOn w:val="a0"/>
    <w:qFormat/>
    <w:rPr>
      <w:color w:val="FF0000"/>
    </w:rPr>
  </w:style>
  <w:style w:type="character" w:customStyle="1" w:styleId="green">
    <w:name w:val="green"/>
    <w:basedOn w:val="a0"/>
    <w:qFormat/>
    <w:rPr>
      <w:color w:val="66AE00"/>
      <w:sz w:val="18"/>
      <w:szCs w:val="18"/>
    </w:rPr>
  </w:style>
  <w:style w:type="character" w:customStyle="1" w:styleId="green1">
    <w:name w:val="green1"/>
    <w:basedOn w:val="a0"/>
    <w:qFormat/>
    <w:rPr>
      <w:color w:val="66AE00"/>
      <w:sz w:val="18"/>
      <w:szCs w:val="18"/>
    </w:rPr>
  </w:style>
  <w:style w:type="character" w:customStyle="1" w:styleId="gb-jt">
    <w:name w:val="gb-jt"/>
    <w:basedOn w:val="a0"/>
    <w:qFormat/>
  </w:style>
  <w:style w:type="character" w:customStyle="1" w:styleId="right">
    <w:name w:val="right"/>
    <w:basedOn w:val="a0"/>
    <w:qFormat/>
    <w:rPr>
      <w:color w:val="999999"/>
      <w:sz w:val="18"/>
      <w:szCs w:val="18"/>
    </w:rPr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active4">
    <w:name w:val="active4"/>
    <w:basedOn w:val="a0"/>
    <w:qFormat/>
    <w:rPr>
      <w:color w:val="FFFFFF"/>
      <w:shd w:val="clear" w:color="010000" w:fill="2B7AFC"/>
    </w:rPr>
  </w:style>
  <w:style w:type="character" w:customStyle="1" w:styleId="Char">
    <w:name w:val="批注框文本 Char"/>
    <w:basedOn w:val="a0"/>
    <w:link w:val="a4"/>
    <w:qFormat/>
    <w:rPr>
      <w:rFonts w:ascii="Calibri" w:hAnsi="Calibri" w:cs="黑体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196739-5ED9-4E37-92CF-45355F0E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天真有邪iii</dc:title>
  <dc:creator>Administrator</dc:creator>
  <cp:lastModifiedBy>Administrator</cp:lastModifiedBy>
  <cp:revision>223</cp:revision>
  <cp:lastPrinted>2025-11-27T02:02:00Z</cp:lastPrinted>
  <dcterms:created xsi:type="dcterms:W3CDTF">2025-08-04T09:43:00Z</dcterms:created>
  <dcterms:modified xsi:type="dcterms:W3CDTF">2025-12-15T01:35:00Z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7922D0C9C8E04C7AADFC54D8D84441A4</vt:lpwstr>
  </property>
  <property fmtid="{D5CDD505-2E9C-101B-9397-08002B2CF9AE}" pid="4" name="KSOTemplateDocerSaveRecord">
    <vt:lpwstr>eyJoZGlkIjoiNGM5MjExZTliMzczMDBkYTU1NWQ0MGM3ZmEzNWJhNzMiLCJ1c2VySWQiOiIyNDE0MjM4MjQifQ==</vt:lpwstr>
  </property>
</Properties>
</file>